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2280"/>
        <w:gridCol w:w="2300"/>
        <w:gridCol w:w="2300"/>
      </w:tblGrid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Usporedba financijskih rezultata</w:t>
            </w:r>
          </w:p>
        </w:tc>
      </w:tr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Cjelogodišnji rezultati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0" w:type="dxa"/>
            </w:tcMar>
            <w:vAlign w:val="bottom"/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 w:val="24"/>
                <w:szCs w:val="24"/>
              </w:rPr>
            </w:pPr>
            <w:r w:rsidRPr="00E3116E">
              <w:rPr>
                <w:color w:val="000000"/>
                <w:sz w:val="24"/>
                <w:szCs w:val="24"/>
              </w:rPr>
              <w:t>2015.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 w:val="24"/>
                <w:szCs w:val="24"/>
              </w:rPr>
            </w:pPr>
            <w:r w:rsidRPr="00E3116E">
              <w:rPr>
                <w:color w:val="000000"/>
                <w:sz w:val="24"/>
                <w:szCs w:val="24"/>
              </w:rPr>
              <w:t>2014.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U usporedbi s 2014.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Prihod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55,4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55,9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manji za 1%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Bruto marža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62,6%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63,7%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1,1 postotni bod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Istraživanje i razvoj te spajanja i akvizicije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20,1 milijardu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19,7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veći za 2%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prije oporezivanja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14,0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15,3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9%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Porezna stopa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19,6%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25,9%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6,3 postotna boda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Neto dobit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11,4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11,7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2%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po dionici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2,33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2,31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veća za 1%</w:t>
            </w:r>
          </w:p>
        </w:tc>
      </w:tr>
    </w:tbl>
    <w:p w:rsidR="00417865" w:rsidRPr="00E3116E" w:rsidRDefault="00417865" w:rsidP="00417865">
      <w:pPr>
        <w:spacing w:before="60" w:after="140"/>
        <w:jc w:val="center"/>
        <w:rPr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2280"/>
        <w:gridCol w:w="2300"/>
        <w:gridCol w:w="2300"/>
      </w:tblGrid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Usporedba financijskih rezultata</w:t>
            </w:r>
          </w:p>
        </w:tc>
      </w:tr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Rezultati u odnosu na isto tromjesečje prethodne godine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0" w:type="dxa"/>
            </w:tcMar>
            <w:vAlign w:val="bottom"/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  <w:lang w:val="pl-PL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Četvrto tromjesečje 2015.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Četvrto tromjesečje 2014.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U usporedbi s četvrtim tromjesečjem 2014.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Prihod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14,9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14,7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veći za 1%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Bruto marža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64,3%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65,4%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1,1 postotni bod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Istraživanje i razvoj te spajanja i akvizicije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5,2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5,0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veći za 4%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prije oporezivanja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4,3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4,5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3%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Porezna stopa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16,0%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21,4%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5,4 postotna boda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Neto dobit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3,6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3,7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1%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po dionici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74 centa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74 centa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bez promjene</w:t>
            </w:r>
          </w:p>
        </w:tc>
      </w:tr>
    </w:tbl>
    <w:p w:rsidR="00417865" w:rsidRPr="00E3116E" w:rsidRDefault="00417865" w:rsidP="00417865">
      <w:pPr>
        <w:spacing w:line="180" w:lineRule="exact"/>
        <w:rPr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2280"/>
        <w:gridCol w:w="2300"/>
        <w:gridCol w:w="2300"/>
      </w:tblGrid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lastRenderedPageBreak/>
              <w:t>Usporedba financijskih rezultata</w:t>
            </w:r>
          </w:p>
        </w:tc>
      </w:tr>
      <w:tr w:rsidR="00417865" w:rsidRPr="00E3116E" w:rsidTr="00C4090A">
        <w:trPr>
          <w:jc w:val="center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Rezultati u odnosu na prethodno tromjesečje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0" w:type="dxa"/>
            </w:tcMar>
            <w:vAlign w:val="bottom"/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  <w:lang w:val="pl-PL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Četvrto tromjesečje 2015.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Treće tromjesečje 2015.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jc w:val="center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U usporedbi s trećim tromjesečjem 2015.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Prihod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14,9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14,5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veći za 3%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Bruto marža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64,3%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63,0%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veća za 1,3 postotna boda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  <w:lang w:val="pl-PL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Istraživanje i razvoj te spajanja i akvizicije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5,2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4,8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veći za 8%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prije oporezivanja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4,3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4,2 milijarde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veća za 3%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Porezna stopa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16,0%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26,9%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manja za 10,9 postotnih bodova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Next/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Neto dobit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3,6 milijardi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3,1 milijardu USD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veća za 16%</w:t>
            </w:r>
          </w:p>
        </w:tc>
      </w:tr>
      <w:tr w:rsidR="00417865" w:rsidRPr="00E3116E" w:rsidTr="00C4090A">
        <w:trPr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60" w:type="dxa"/>
              <w:right w:w="40" w:type="dxa"/>
            </w:tcMar>
          </w:tcPr>
          <w:p w:rsidR="00417865" w:rsidRPr="00E3116E" w:rsidRDefault="00417865" w:rsidP="00C4090A">
            <w:pPr>
              <w:keepLines/>
              <w:spacing w:before="40" w:after="40"/>
              <w:rPr>
                <w:szCs w:val="24"/>
              </w:rPr>
            </w:pPr>
            <w:r w:rsidRPr="00E3116E">
              <w:rPr>
                <w:color w:val="000000"/>
                <w:sz w:val="24"/>
                <w:szCs w:val="24"/>
                <w:lang w:val="hr-HR"/>
              </w:rPr>
              <w:t>Dobit po dionici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74 centa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417865" w:rsidRPr="00E3116E" w:rsidRDefault="00417865" w:rsidP="00C4090A">
            <w:pPr>
              <w:tabs>
                <w:tab w:val="center" w:pos="1090"/>
                <w:tab w:val="right" w:pos="2180"/>
              </w:tabs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64 centa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:rsidR="00417865" w:rsidRPr="00E3116E" w:rsidRDefault="00417865" w:rsidP="00C4090A">
            <w:pPr>
              <w:jc w:val="center"/>
              <w:rPr>
                <w:color w:val="000000"/>
                <w:sz w:val="22"/>
                <w:szCs w:val="24"/>
                <w:lang w:val="sl-SI" w:eastAsia="sl-SI" w:bidi="sl-SI"/>
              </w:rPr>
            </w:pPr>
            <w:r w:rsidRPr="00E3116E">
              <w:rPr>
                <w:color w:val="000000"/>
                <w:sz w:val="22"/>
                <w:szCs w:val="24"/>
                <w:lang w:val="sl-SI" w:eastAsia="sl-SI" w:bidi="sl-SI"/>
              </w:rPr>
              <w:t>veća za 16%</w:t>
            </w:r>
          </w:p>
        </w:tc>
      </w:tr>
    </w:tbl>
    <w:p w:rsidR="001B61D2" w:rsidRDefault="001B61D2">
      <w:bookmarkStart w:id="0" w:name="_GoBack"/>
      <w:bookmarkEnd w:id="0"/>
    </w:p>
    <w:sectPr w:rsidR="001B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5"/>
    <w:rsid w:val="001B61D2"/>
    <w:rsid w:val="004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C6E08-A32A-407B-B009-12C0F982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65"/>
    <w:pPr>
      <w:spacing w:after="0" w:line="240" w:lineRule="auto"/>
    </w:pPr>
    <w:rPr>
      <w:rFonts w:ascii="Times New Roman" w:eastAsia="Times New Roman" w:hAnsi="Times New Roman" w:cs="Times New Roman"/>
      <w:snapToGrid w:val="0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Katarina1</dc:creator>
  <cp:keywords/>
  <dc:description/>
  <cp:lastModifiedBy>Katarina1</cp:lastModifiedBy>
  <cp:revision>1</cp:revision>
  <dcterms:created xsi:type="dcterms:W3CDTF">2016-01-15T13:55:00Z</dcterms:created>
  <dcterms:modified xsi:type="dcterms:W3CDTF">2016-01-15T13:55:00Z</dcterms:modified>
</cp:coreProperties>
</file>